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90" w:rsidRDefault="00243490"/>
    <w:p w:rsidR="002954AC" w:rsidRDefault="002954AC" w:rsidP="002954AC">
      <w:pPr>
        <w:pStyle w:val="NormalWeb"/>
        <w:spacing w:before="60" w:beforeAutospacing="0" w:after="150" w:afterAutospacing="0"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En el diseño de una operación de extracción líquido – líquido suele considerarse que el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>refinado y el extracto se encuentran en equilibrio</w:t>
      </w:r>
      <w:r>
        <w:rPr>
          <w:rFonts w:ascii="Arial" w:hAnsi="Arial" w:cs="Arial"/>
          <w:color w:val="444444"/>
          <w:sz w:val="21"/>
          <w:szCs w:val="21"/>
        </w:rPr>
        <w:t>. Los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>datos de equilibrio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que deberán manejarse serán como mínimo los correspondientes a un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>sistema ternario (dos disolventes y un soluto)</w:t>
      </w:r>
      <w:r>
        <w:rPr>
          <w:rFonts w:ascii="Arial" w:hAnsi="Arial" w:cs="Arial"/>
          <w:color w:val="444444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>con dos de los componentes inmiscibles o parcialmente inmiscibles entre sí</w:t>
      </w:r>
      <w:r>
        <w:rPr>
          <w:rFonts w:ascii="Arial" w:hAnsi="Arial" w:cs="Arial"/>
          <w:color w:val="444444"/>
          <w:sz w:val="21"/>
          <w:szCs w:val="21"/>
        </w:rPr>
        <w:t>.</w:t>
      </w:r>
    </w:p>
    <w:p w:rsidR="002954AC" w:rsidRDefault="002954AC" w:rsidP="002954AC">
      <w:pPr>
        <w:pStyle w:val="NormalWeb"/>
        <w:spacing w:before="60" w:beforeAutospacing="0" w:after="150" w:afterAutospacing="0"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Una de las formas más habituales de recoger los datos de equilibrio en sistemas ternarios son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los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>diagramas</w:t>
      </w:r>
      <w:proofErr w:type="spellEnd"/>
      <w:r>
        <w:rPr>
          <w:rStyle w:val="Textoennegrita"/>
          <w:rFonts w:ascii="Arial" w:hAnsi="Arial" w:cs="Arial"/>
          <w:color w:val="444444"/>
          <w:sz w:val="21"/>
          <w:szCs w:val="21"/>
        </w:rPr>
        <w:t xml:space="preserve"> triangulares</w:t>
      </w:r>
      <w:r>
        <w:rPr>
          <w:rFonts w:ascii="Arial" w:hAnsi="Arial" w:cs="Arial"/>
          <w:color w:val="444444"/>
          <w:sz w:val="21"/>
          <w:szCs w:val="21"/>
        </w:rPr>
        <w:t>.</w:t>
      </w:r>
    </w:p>
    <w:p w:rsidR="002954AC" w:rsidRDefault="002954AC" w:rsidP="002954AC">
      <w:pPr>
        <w:pStyle w:val="NormalWeb"/>
        <w:spacing w:before="60" w:beforeAutospacing="0" w:after="150" w:afterAutospacing="0"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drawing>
          <wp:inline distT="0" distB="0" distL="0" distR="0" wp14:anchorId="43DCD4C5" wp14:editId="09DB6595">
            <wp:extent cx="1996440" cy="1752600"/>
            <wp:effectExtent l="0" t="0" r="3810" b="0"/>
            <wp:docPr id="1" name="Imagen 1" descr="http://neetescuela.com/wp-content/uploads/2013/10/descarg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etescuela.com/wp-content/uploads/2013/10/descarga-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4AC" w:rsidRDefault="002954AC" w:rsidP="002954AC">
      <w:pPr>
        <w:pStyle w:val="NormalWeb"/>
        <w:spacing w:before="60" w:beforeAutospacing="0" w:after="150" w:afterAutospacing="0"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Los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>vértices del triángulo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representan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>compuestos puros</w:t>
      </w:r>
      <w:r>
        <w:rPr>
          <w:rFonts w:ascii="Arial" w:hAnsi="Arial" w:cs="Arial"/>
          <w:color w:val="444444"/>
          <w:sz w:val="21"/>
          <w:szCs w:val="21"/>
        </w:rPr>
        <w:t>, un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>punto sobre un lado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correspondería a una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>mezcla binaria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y un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>punto en el interior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del triángulo representaría una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>mezcla ternaria</w:t>
      </w:r>
      <w:r>
        <w:rPr>
          <w:rFonts w:ascii="Arial" w:hAnsi="Arial" w:cs="Arial"/>
          <w:color w:val="444444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>La composición de una mezcla puede determinarse por lectura directa en el diagrama</w:t>
      </w:r>
      <w:r>
        <w:rPr>
          <w:rFonts w:ascii="Arial" w:hAnsi="Arial" w:cs="Arial"/>
          <w:color w:val="444444"/>
          <w:sz w:val="21"/>
          <w:szCs w:val="21"/>
        </w:rPr>
        <w:t>.</w:t>
      </w:r>
    </w:p>
    <w:p w:rsidR="002954AC" w:rsidRDefault="002954AC" w:rsidP="002954AC">
      <w:pPr>
        <w:pStyle w:val="NormalWeb"/>
        <w:spacing w:before="60" w:beforeAutospacing="0" w:after="150" w:afterAutospacing="0"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En los sistemas de interés para la extracción líquido – líquido los dos disolventes implicados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son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>inmiscibles</w:t>
      </w:r>
      <w:proofErr w:type="spellEnd"/>
      <w:r>
        <w:rPr>
          <w:rStyle w:val="Textoennegrita"/>
          <w:rFonts w:ascii="Arial" w:hAnsi="Arial" w:cs="Arial"/>
          <w:color w:val="444444"/>
          <w:sz w:val="21"/>
          <w:szCs w:val="21"/>
        </w:rPr>
        <w:t xml:space="preserve"> o parcialmente inmiscibles entre sí</w:t>
      </w:r>
      <w:r>
        <w:rPr>
          <w:rFonts w:ascii="Arial" w:hAnsi="Arial" w:cs="Arial"/>
          <w:color w:val="444444"/>
          <w:sz w:val="21"/>
          <w:szCs w:val="21"/>
        </w:rPr>
        <w:t>. Es decir, su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>mezcla en las proporciones adecuadas puede dar lugar a la formación de dos fases</w:t>
      </w:r>
      <w:r>
        <w:rPr>
          <w:rFonts w:ascii="Arial" w:hAnsi="Arial" w:cs="Arial"/>
          <w:color w:val="444444"/>
          <w:sz w:val="21"/>
          <w:szCs w:val="21"/>
        </w:rPr>
        <w:t>. Además, la presencia de un soluto modifica la solubilidad de un disolvente en otro. Para representar este comportamiento, y poder conocer si a una determinada mezcla le corresponden una o dos fases, los diagramas triangulares líquido – líquido presentan la denominada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 xml:space="preserve">curva </w:t>
      </w:r>
      <w:proofErr w:type="spellStart"/>
      <w:r>
        <w:rPr>
          <w:rStyle w:val="Textoennegrita"/>
          <w:rFonts w:ascii="Arial" w:hAnsi="Arial" w:cs="Arial"/>
          <w:color w:val="444444"/>
          <w:sz w:val="21"/>
          <w:szCs w:val="21"/>
        </w:rPr>
        <w:t>binodal</w:t>
      </w:r>
      <w:proofErr w:type="spellEnd"/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o de solubilidad.</w:t>
      </w:r>
    </w:p>
    <w:p w:rsidR="002954AC" w:rsidRDefault="002954AC" w:rsidP="002954AC">
      <w:pPr>
        <w:pStyle w:val="NormalWeb"/>
        <w:spacing w:before="60" w:beforeAutospacing="0" w:after="150" w:afterAutospacing="0"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lastRenderedPageBreak/>
        <w:drawing>
          <wp:inline distT="0" distB="0" distL="0" distR="0" wp14:anchorId="40D4BAB4" wp14:editId="3C0B605C">
            <wp:extent cx="5143500" cy="3810000"/>
            <wp:effectExtent l="0" t="0" r="0" b="0"/>
            <wp:docPr id="2" name="Imagen 2" descr="http://neetescuela.com/wp-content/uploads/2013/10/extraccaofun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etescuela.com/wp-content/uploads/2013/10/extraccaofund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4AC" w:rsidRDefault="002954AC" w:rsidP="002954AC">
      <w:pPr>
        <w:pStyle w:val="NormalWeb"/>
        <w:spacing w:before="60" w:beforeAutospacing="0" w:after="150" w:afterAutospacing="0"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Una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>mezcla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representada por un punto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 xml:space="preserve">situado por encima de la curva </w:t>
      </w:r>
      <w:proofErr w:type="spellStart"/>
      <w:r>
        <w:rPr>
          <w:rStyle w:val="Textoennegrita"/>
          <w:rFonts w:ascii="Arial" w:hAnsi="Arial" w:cs="Arial"/>
          <w:color w:val="444444"/>
          <w:sz w:val="21"/>
          <w:szCs w:val="21"/>
        </w:rPr>
        <w:t>binodal</w:t>
      </w:r>
      <w:proofErr w:type="spellEnd"/>
      <w:r>
        <w:rPr>
          <w:rStyle w:val="Textoennegrita"/>
          <w:rFonts w:ascii="Arial" w:hAnsi="Arial" w:cs="Arial"/>
          <w:color w:val="444444"/>
          <w:sz w:val="21"/>
          <w:szCs w:val="21"/>
        </w:rPr>
        <w:t xml:space="preserve"> estará constituida por una sola fase</w:t>
      </w:r>
      <w:r>
        <w:rPr>
          <w:rFonts w:ascii="Arial" w:hAnsi="Arial" w:cs="Arial"/>
          <w:color w:val="444444"/>
          <w:sz w:val="21"/>
          <w:szCs w:val="21"/>
        </w:rPr>
        <w:t>. Por el contrario, a una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 xml:space="preserve">mezcla situada por debajo de la curva </w:t>
      </w:r>
      <w:proofErr w:type="spellStart"/>
      <w:r>
        <w:rPr>
          <w:rStyle w:val="Textoennegrita"/>
          <w:rFonts w:ascii="Arial" w:hAnsi="Arial" w:cs="Arial"/>
          <w:color w:val="444444"/>
          <w:sz w:val="21"/>
          <w:szCs w:val="21"/>
        </w:rPr>
        <w:t>binodal</w:t>
      </w:r>
      <w:proofErr w:type="spellEnd"/>
      <w:r>
        <w:rPr>
          <w:rStyle w:val="Textoennegrita"/>
          <w:rFonts w:ascii="Arial" w:hAnsi="Arial" w:cs="Arial"/>
          <w:color w:val="444444"/>
          <w:sz w:val="21"/>
          <w:szCs w:val="21"/>
        </w:rPr>
        <w:t xml:space="preserve"> le corresponden dos fases</w:t>
      </w:r>
      <w:r>
        <w:rPr>
          <w:rFonts w:ascii="Arial" w:hAnsi="Arial" w:cs="Arial"/>
          <w:color w:val="444444"/>
          <w:sz w:val="21"/>
          <w:szCs w:val="21"/>
        </w:rPr>
        <w:t>. Las dos fases en equilibrio se encuentran ligadas por una recta de reparto.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Textoennegrita"/>
          <w:rFonts w:ascii="Arial" w:hAnsi="Arial" w:cs="Arial"/>
          <w:color w:val="444444"/>
          <w:sz w:val="21"/>
          <w:szCs w:val="21"/>
        </w:rPr>
        <w:t xml:space="preserve">La recta de reparto pasa por el punto de mezcla y sus extremos sobre la curva </w:t>
      </w:r>
      <w:proofErr w:type="spellStart"/>
      <w:r>
        <w:rPr>
          <w:rStyle w:val="Textoennegrita"/>
          <w:rFonts w:ascii="Arial" w:hAnsi="Arial" w:cs="Arial"/>
          <w:color w:val="444444"/>
          <w:sz w:val="21"/>
          <w:szCs w:val="21"/>
        </w:rPr>
        <w:t>binodal</w:t>
      </w:r>
      <w:proofErr w:type="spellEnd"/>
      <w:r>
        <w:rPr>
          <w:rStyle w:val="Textoennegrita"/>
          <w:rFonts w:ascii="Arial" w:hAnsi="Arial" w:cs="Arial"/>
          <w:color w:val="444444"/>
          <w:sz w:val="21"/>
          <w:szCs w:val="21"/>
        </w:rPr>
        <w:t xml:space="preserve"> indican la concentración de las dos fases en equilibrio</w:t>
      </w:r>
    </w:p>
    <w:p w:rsidR="002954AC" w:rsidRDefault="002954AC">
      <w:bookmarkStart w:id="0" w:name="_GoBack"/>
      <w:bookmarkEnd w:id="0"/>
    </w:p>
    <w:sectPr w:rsidR="002954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AC"/>
    <w:rsid w:val="00243490"/>
    <w:rsid w:val="0029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954AC"/>
  </w:style>
  <w:style w:type="character" w:styleId="Textoennegrita">
    <w:name w:val="Strong"/>
    <w:basedOn w:val="Fuentedeprrafopredeter"/>
    <w:uiPriority w:val="22"/>
    <w:qFormat/>
    <w:rsid w:val="002954A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954AC"/>
  </w:style>
  <w:style w:type="character" w:styleId="Textoennegrita">
    <w:name w:val="Strong"/>
    <w:basedOn w:val="Fuentedeprrafopredeter"/>
    <w:uiPriority w:val="22"/>
    <w:qFormat/>
    <w:rsid w:val="002954A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CANO DE SANTAYANA</dc:creator>
  <cp:lastModifiedBy>MERCEDES CANO DE SANTAYANA</cp:lastModifiedBy>
  <cp:revision>1</cp:revision>
  <dcterms:created xsi:type="dcterms:W3CDTF">2015-01-06T20:16:00Z</dcterms:created>
  <dcterms:modified xsi:type="dcterms:W3CDTF">2015-01-06T20:17:00Z</dcterms:modified>
</cp:coreProperties>
</file>